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A0C936" w14:textId="77777777" w:rsidR="002A0E41" w:rsidRPr="002A0E41" w:rsidRDefault="002A0E41" w:rsidP="00F55F22">
      <w:pPr>
        <w:jc w:val="both"/>
        <w:rPr>
          <w:rFonts w:ascii="Times" w:eastAsia="Times New Roman" w:hAnsi="Times" w:cs="Times New Roman"/>
          <w:sz w:val="20"/>
          <w:szCs w:val="20"/>
        </w:rPr>
      </w:pPr>
      <w:bookmarkStart w:id="0" w:name="_GoBack"/>
      <w:r w:rsidRPr="002A0E41">
        <w:rPr>
          <w:rFonts w:ascii="Times" w:eastAsia="Times New Roman" w:hAnsi="Times" w:cs="Times New Roman"/>
          <w:b/>
          <w:bCs/>
          <w:color w:val="808080"/>
          <w:sz w:val="26"/>
          <w:szCs w:val="26"/>
        </w:rPr>
        <w:t xml:space="preserve">LEY 448 DE 1998 </w:t>
      </w:r>
    </w:p>
    <w:p w14:paraId="58541D58" w14:textId="77777777" w:rsidR="002A0E41" w:rsidRPr="002A0E41" w:rsidRDefault="002A0E41" w:rsidP="00F55F22">
      <w:pPr>
        <w:jc w:val="both"/>
        <w:rPr>
          <w:rFonts w:ascii="Times" w:eastAsia="Times New Roman" w:hAnsi="Times" w:cs="Times New Roman"/>
          <w:sz w:val="20"/>
          <w:szCs w:val="20"/>
        </w:rPr>
      </w:pPr>
      <w:r w:rsidRPr="002A0E41">
        <w:rPr>
          <w:rFonts w:ascii="Times" w:eastAsia="Times New Roman" w:hAnsi="Times" w:cs="Times New Roman"/>
          <w:sz w:val="20"/>
          <w:szCs w:val="20"/>
        </w:rPr>
        <w:t xml:space="preserve">(julio 21) </w:t>
      </w:r>
    </w:p>
    <w:p w14:paraId="2DF6950F" w14:textId="77777777" w:rsidR="002A0E41" w:rsidRPr="002A0E41" w:rsidRDefault="002A0E41" w:rsidP="00F55F22">
      <w:pPr>
        <w:jc w:val="both"/>
        <w:rPr>
          <w:rFonts w:ascii="Times" w:eastAsia="Times New Roman" w:hAnsi="Times" w:cs="Times New Roman"/>
          <w:sz w:val="20"/>
          <w:szCs w:val="20"/>
        </w:rPr>
      </w:pPr>
      <w:r w:rsidRPr="002A0E41">
        <w:rPr>
          <w:rFonts w:ascii="Times" w:eastAsia="Times New Roman" w:hAnsi="Times" w:cs="Times New Roman"/>
          <w:sz w:val="20"/>
          <w:szCs w:val="20"/>
        </w:rPr>
        <w:t xml:space="preserve">Diario Oficial No. 43.345, de 23 de julio de 1998 </w:t>
      </w:r>
    </w:p>
    <w:p w14:paraId="67C11CFD" w14:textId="77777777" w:rsidR="002A0E41" w:rsidRPr="002A0E41" w:rsidRDefault="002A0E41" w:rsidP="00F55F22">
      <w:pPr>
        <w:jc w:val="both"/>
        <w:rPr>
          <w:rFonts w:ascii="Times" w:eastAsia="Times New Roman" w:hAnsi="Times" w:cs="Times New Roman"/>
          <w:sz w:val="20"/>
          <w:szCs w:val="20"/>
        </w:rPr>
      </w:pPr>
      <w:r w:rsidRPr="002A0E41">
        <w:rPr>
          <w:rFonts w:ascii="Times" w:eastAsia="Times New Roman" w:hAnsi="Times" w:cs="Times New Roman"/>
          <w:sz w:val="20"/>
          <w:szCs w:val="20"/>
        </w:rPr>
        <w:t>Por medio de la cual se adoptan medidas en relación con el manejo  de las obligaciones contingentes de las entidades estatales y se  dictan otras disposiciones en materia de endeudamiento público.</w:t>
      </w:r>
    </w:p>
    <w:p w14:paraId="76820D1E" w14:textId="77777777" w:rsidR="002A0E41" w:rsidRPr="002A0E41" w:rsidRDefault="002A0E41" w:rsidP="00F55F22">
      <w:pPr>
        <w:jc w:val="both"/>
        <w:rPr>
          <w:rFonts w:ascii="Times" w:eastAsia="Times New Roman" w:hAnsi="Times" w:cs="Times New Roman"/>
          <w:sz w:val="20"/>
          <w:szCs w:val="20"/>
        </w:rPr>
      </w:pPr>
      <w:hyperlink r:id="rId5" w:history="1">
        <w:r w:rsidRPr="002A0E41">
          <w:rPr>
            <w:rFonts w:ascii="Times" w:eastAsia="Times New Roman" w:hAnsi="Times" w:cs="Times New Roman"/>
            <w:color w:val="0000FF"/>
            <w:sz w:val="20"/>
            <w:szCs w:val="20"/>
            <w:u w:val="single"/>
          </w:rPr>
          <w:t>&lt;Resumen de 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9108"/>
      </w:tblGrid>
      <w:tr w:rsidR="002A0E41" w:rsidRPr="002A0E41" w14:paraId="4BECAFEA" w14:textId="77777777" w:rsidTr="002A0E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3E37B9" w14:textId="77777777" w:rsidR="002A0E41" w:rsidRPr="002A0E41" w:rsidRDefault="002A0E41" w:rsidP="00F55F22">
            <w:pPr>
              <w:jc w:val="both"/>
              <w:rPr>
                <w:rFonts w:ascii="Times" w:eastAsia="Times New Roman" w:hAnsi="Times" w:cs="Times New Roman"/>
                <w:sz w:val="20"/>
                <w:szCs w:val="20"/>
              </w:rPr>
            </w:pPr>
          </w:p>
        </w:tc>
      </w:tr>
    </w:tbl>
    <w:p w14:paraId="522579A6" w14:textId="77777777" w:rsidR="002A0E41" w:rsidRPr="002A0E41" w:rsidRDefault="002A0E41" w:rsidP="00F55F22">
      <w:pPr>
        <w:jc w:val="both"/>
        <w:rPr>
          <w:rFonts w:ascii="Times" w:eastAsia="Times New Roman" w:hAnsi="Times" w:cs="Times New Roman"/>
          <w:sz w:val="20"/>
          <w:szCs w:val="20"/>
        </w:rPr>
      </w:pPr>
      <w:r w:rsidRPr="002A0E41">
        <w:rPr>
          <w:rFonts w:ascii="Times" w:eastAsia="Times New Roman" w:hAnsi="Times" w:cs="Times New Roman"/>
          <w:color w:val="808080"/>
        </w:rPr>
        <w:t xml:space="preserve">EL CONGRESO DE COLOMBIA </w:t>
      </w:r>
    </w:p>
    <w:p w14:paraId="02B8C6C0" w14:textId="77777777" w:rsidR="002A0E41" w:rsidRPr="002A0E41" w:rsidRDefault="002A0E41" w:rsidP="00F55F22">
      <w:pPr>
        <w:jc w:val="both"/>
        <w:rPr>
          <w:rFonts w:ascii="Times" w:eastAsia="Times New Roman" w:hAnsi="Times" w:cs="Times New Roman"/>
          <w:sz w:val="20"/>
          <w:szCs w:val="20"/>
        </w:rPr>
      </w:pPr>
      <w:r w:rsidRPr="002A0E41">
        <w:rPr>
          <w:rFonts w:ascii="Times" w:eastAsia="Times New Roman" w:hAnsi="Times" w:cs="Times New Roman"/>
          <w:color w:val="808080"/>
        </w:rPr>
        <w:t xml:space="preserve">DECRETA: </w:t>
      </w:r>
    </w:p>
    <w:p w14:paraId="05AD6761" w14:textId="77777777" w:rsidR="002A0E41" w:rsidRPr="002A0E41" w:rsidRDefault="002A0E41" w:rsidP="00F55F22">
      <w:pPr>
        <w:jc w:val="both"/>
        <w:rPr>
          <w:rFonts w:ascii="Times" w:eastAsia="Times New Roman" w:hAnsi="Times" w:cs="Times New Roman"/>
          <w:sz w:val="20"/>
          <w:szCs w:val="20"/>
        </w:rPr>
      </w:pPr>
      <w:bookmarkStart w:id="1" w:name="1"/>
      <w:bookmarkEnd w:id="1"/>
      <w:r w:rsidRPr="002A0E41">
        <w:rPr>
          <w:rFonts w:ascii="Times" w:eastAsia="Times New Roman" w:hAnsi="Times" w:cs="Times New Roman"/>
          <w:sz w:val="20"/>
          <w:szCs w:val="20"/>
        </w:rPr>
        <w:t xml:space="preserve">ARTICULO 1o. MANEJO PRESUPUESTAL DE LAS CONTINGENCIAS. De conformidad con las disposiciones de la Ley Orgánica del Presupuesto, la Nación, las Entidades Territoriales y las Entidades Descentralizadas de cualquier orden deberán incluir en sus presupuestos de servicio de deuda, las apropiaciones necesarias para cubrir las posibles pérdidas de las obligaciones contingentes a su cargo. </w:t>
      </w:r>
    </w:p>
    <w:p w14:paraId="6863AD7C" w14:textId="77777777" w:rsidR="002A0E41" w:rsidRPr="002A0E41" w:rsidRDefault="002A0E41" w:rsidP="00F55F22">
      <w:pPr>
        <w:jc w:val="both"/>
        <w:rPr>
          <w:rFonts w:ascii="Times" w:eastAsia="Times New Roman" w:hAnsi="Times" w:cs="Times New Roman"/>
          <w:sz w:val="20"/>
          <w:szCs w:val="20"/>
        </w:rPr>
      </w:pPr>
      <w:r w:rsidRPr="002A0E41">
        <w:rPr>
          <w:rFonts w:ascii="Times" w:eastAsia="Times New Roman" w:hAnsi="Times" w:cs="Times New Roman"/>
          <w:sz w:val="20"/>
          <w:szCs w:val="20"/>
        </w:rPr>
        <w:t xml:space="preserve">El Gobierno Nacional reglamentará la metodología sobre los términos para la inclusión de estas obligaciones en los presupuestos de las entidades a que hace referencia el inciso anterior, pudiendo distinguir en su tratamiento las obligaciones contingentes que se hubiesen adquirido con anterioridad a la entrada en vigencia de esta ley y las futuras. </w:t>
      </w:r>
    </w:p>
    <w:p w14:paraId="53035630" w14:textId="77777777" w:rsidR="002A0E41" w:rsidRPr="002A0E41" w:rsidRDefault="002A0E41" w:rsidP="00F55F22">
      <w:pPr>
        <w:jc w:val="both"/>
        <w:rPr>
          <w:rFonts w:ascii="Times" w:eastAsia="Times New Roman" w:hAnsi="Times" w:cs="Times New Roman"/>
          <w:sz w:val="20"/>
          <w:szCs w:val="20"/>
        </w:rPr>
      </w:pPr>
      <w:r w:rsidRPr="002A0E41">
        <w:rPr>
          <w:rFonts w:ascii="Times" w:eastAsia="Times New Roman" w:hAnsi="Times" w:cs="Times New Roman"/>
          <w:sz w:val="20"/>
          <w:szCs w:val="20"/>
        </w:rPr>
        <w:t xml:space="preserve">Así mismo, el Gobierno reglamentará los eventos en los cuales dichos recursos deban ser transferidos al fondo que se crea de conformidad con el artículo siguiente. </w:t>
      </w:r>
    </w:p>
    <w:p w14:paraId="420E4C6C" w14:textId="77777777" w:rsidR="002A0E41" w:rsidRPr="002A0E41" w:rsidRDefault="002A0E41" w:rsidP="00F55F22">
      <w:pPr>
        <w:jc w:val="both"/>
        <w:rPr>
          <w:rFonts w:ascii="Times" w:eastAsia="Times New Roman" w:hAnsi="Times" w:cs="Times New Roman"/>
          <w:sz w:val="20"/>
          <w:szCs w:val="20"/>
        </w:rPr>
      </w:pPr>
      <w:r w:rsidRPr="002A0E41">
        <w:rPr>
          <w:rFonts w:ascii="Times" w:eastAsia="Times New Roman" w:hAnsi="Times" w:cs="Times New Roman"/>
          <w:sz w:val="20"/>
          <w:szCs w:val="20"/>
        </w:rPr>
        <w:t xml:space="preserve">PARAGRAFO. Para efectos de la presente ley se entiende por obligaciones contingentes las obligaciones pecuniarias sometidas a condición. </w:t>
      </w:r>
    </w:p>
    <w:p w14:paraId="3996B509" w14:textId="77777777" w:rsidR="002A0E41" w:rsidRPr="002A0E41" w:rsidRDefault="002A0E41" w:rsidP="00F55F22">
      <w:pPr>
        <w:jc w:val="both"/>
        <w:rPr>
          <w:rFonts w:ascii="Times" w:eastAsia="Times New Roman" w:hAnsi="Times" w:cs="Times New Roman"/>
          <w:sz w:val="20"/>
          <w:szCs w:val="20"/>
        </w:rPr>
      </w:pPr>
      <w:bookmarkStart w:id="2" w:name="2"/>
      <w:bookmarkEnd w:id="2"/>
      <w:r w:rsidRPr="002A0E41">
        <w:rPr>
          <w:rFonts w:ascii="Times" w:eastAsia="Times New Roman" w:hAnsi="Times" w:cs="Times New Roman"/>
          <w:sz w:val="20"/>
          <w:szCs w:val="20"/>
        </w:rPr>
        <w:t xml:space="preserve">ARTICULO 2o. FONDO DE CONTINGENCIAS DE LAS ENTIDADES ESTATALES. Créase el Fondo de Contingencias de las Entidades Estatales como una cuenta especial sin personería jurídica </w:t>
      </w:r>
      <w:r w:rsidRPr="002A0E41">
        <w:rPr>
          <w:rFonts w:ascii="Times" w:eastAsia="Times New Roman" w:hAnsi="Times" w:cs="Times New Roman"/>
          <w:sz w:val="20"/>
          <w:szCs w:val="20"/>
          <w:u w:val="single"/>
        </w:rPr>
        <w:t>administrada por la fiduciaria La Previsora</w:t>
      </w:r>
      <w:r w:rsidRPr="002A0E41">
        <w:rPr>
          <w:rFonts w:ascii="Times" w:eastAsia="Times New Roman" w:hAnsi="Times" w:cs="Times New Roman"/>
          <w:sz w:val="20"/>
          <w:szCs w:val="20"/>
        </w:rPr>
        <w:t xml:space="preserve">. </w:t>
      </w:r>
    </w:p>
    <w:p w14:paraId="65ABE007" w14:textId="77777777" w:rsidR="002A0E41" w:rsidRPr="002A0E41" w:rsidRDefault="002A0E41" w:rsidP="00F55F22">
      <w:pPr>
        <w:jc w:val="both"/>
        <w:rPr>
          <w:rFonts w:ascii="Times" w:eastAsia="Times New Roman" w:hAnsi="Times" w:cs="Times New Roman"/>
          <w:sz w:val="20"/>
          <w:szCs w:val="20"/>
        </w:rPr>
      </w:pPr>
      <w:hyperlink r:id="rId6" w:history="1">
        <w:r w:rsidRPr="002A0E41">
          <w:rPr>
            <w:rFonts w:ascii="Times" w:eastAsia="Times New Roman" w:hAnsi="Times" w:cs="Times New Roman"/>
            <w:color w:val="0000FF"/>
            <w:sz w:val="20"/>
            <w:szCs w:val="20"/>
            <w:u w:val="single"/>
          </w:rPr>
          <w:t xml:space="preserve">&lt;Jurisprudencia Vigencia&gt; </w:t>
        </w:r>
      </w:hyperlink>
    </w:p>
    <w:tbl>
      <w:tblPr>
        <w:tblW w:w="5000" w:type="pct"/>
        <w:tblCellSpacing w:w="0"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9108"/>
      </w:tblGrid>
      <w:tr w:rsidR="002A0E41" w:rsidRPr="002A0E41" w14:paraId="583D0829" w14:textId="77777777" w:rsidTr="002A0E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BE4A82" w14:textId="77777777" w:rsidR="002A0E41" w:rsidRPr="002A0E41" w:rsidRDefault="002A0E41" w:rsidP="00F55F22">
            <w:pPr>
              <w:jc w:val="both"/>
              <w:rPr>
                <w:rFonts w:ascii="Times" w:eastAsia="Times New Roman" w:hAnsi="Times" w:cs="Times New Roman"/>
                <w:sz w:val="20"/>
                <w:szCs w:val="20"/>
              </w:rPr>
            </w:pPr>
          </w:p>
        </w:tc>
      </w:tr>
    </w:tbl>
    <w:p w14:paraId="386EE9CE" w14:textId="77777777" w:rsidR="002A0E41" w:rsidRPr="002A0E41" w:rsidRDefault="002A0E41" w:rsidP="00F55F22">
      <w:pPr>
        <w:jc w:val="both"/>
        <w:rPr>
          <w:rFonts w:ascii="Times" w:eastAsia="Times New Roman" w:hAnsi="Times" w:cs="Times New Roman"/>
          <w:sz w:val="20"/>
          <w:szCs w:val="20"/>
        </w:rPr>
      </w:pPr>
      <w:bookmarkStart w:id="3" w:name="3"/>
      <w:bookmarkEnd w:id="3"/>
      <w:r w:rsidRPr="002A0E41">
        <w:rPr>
          <w:rFonts w:ascii="Times" w:eastAsia="Times New Roman" w:hAnsi="Times" w:cs="Times New Roman"/>
          <w:sz w:val="20"/>
          <w:szCs w:val="20"/>
        </w:rPr>
        <w:t xml:space="preserve">ARTICULO 3o. OBJETO DEL FONDO. El Fondo de Contingencias de las Entidades Estatales tendrá por objeto atender las obligaciones contingentes de las Entidades Estatales que determine el Gobierno. El Gobierno determinará además el tipo de riesgos que pueden ser cubiertos por el Fondo. </w:t>
      </w:r>
    </w:p>
    <w:p w14:paraId="120C66AB" w14:textId="77777777" w:rsidR="002A0E41" w:rsidRPr="002A0E41" w:rsidRDefault="002A0E41" w:rsidP="00F55F22">
      <w:pPr>
        <w:jc w:val="both"/>
        <w:rPr>
          <w:rFonts w:ascii="Times" w:eastAsia="Times New Roman" w:hAnsi="Times" w:cs="Times New Roman"/>
          <w:sz w:val="20"/>
          <w:szCs w:val="20"/>
        </w:rPr>
      </w:pPr>
      <w:bookmarkStart w:id="4" w:name="4"/>
      <w:bookmarkEnd w:id="4"/>
      <w:r w:rsidRPr="002A0E41">
        <w:rPr>
          <w:rFonts w:ascii="Times" w:eastAsia="Times New Roman" w:hAnsi="Times" w:cs="Times New Roman"/>
          <w:sz w:val="20"/>
          <w:szCs w:val="20"/>
        </w:rPr>
        <w:t xml:space="preserve">ARTICULO 4o. REGIMEN PRESUPUESTAL. Para todos los efectos presupuestales, el Fondo se regirá por las normas aplicables a las Entidades Estatales de carácter financiero. </w:t>
      </w:r>
    </w:p>
    <w:p w14:paraId="00CB7801" w14:textId="77777777" w:rsidR="002A0E41" w:rsidRPr="002A0E41" w:rsidRDefault="002A0E41" w:rsidP="00F55F22">
      <w:pPr>
        <w:jc w:val="both"/>
        <w:rPr>
          <w:rFonts w:ascii="Times" w:eastAsia="Times New Roman" w:hAnsi="Times" w:cs="Times New Roman"/>
          <w:sz w:val="20"/>
          <w:szCs w:val="20"/>
        </w:rPr>
      </w:pPr>
      <w:r w:rsidRPr="002A0E41">
        <w:rPr>
          <w:rFonts w:ascii="Times" w:eastAsia="Times New Roman" w:hAnsi="Times" w:cs="Times New Roman"/>
          <w:sz w:val="20"/>
          <w:szCs w:val="20"/>
        </w:rPr>
        <w:t xml:space="preserve">Los aportes realizados al Fondo se entenderán ejecutados una vez transferidos al mismo y sólo podrán ser reembolsados a las entidades aportantes cuando se verifique en forma definitiva la no realización de los riesgos previstos. </w:t>
      </w:r>
    </w:p>
    <w:p w14:paraId="18C77597" w14:textId="77777777" w:rsidR="002A0E41" w:rsidRPr="002A0E41" w:rsidRDefault="002A0E41" w:rsidP="00F55F22">
      <w:pPr>
        <w:jc w:val="both"/>
        <w:rPr>
          <w:rFonts w:ascii="Times" w:eastAsia="Times New Roman" w:hAnsi="Times" w:cs="Times New Roman"/>
          <w:sz w:val="20"/>
          <w:szCs w:val="20"/>
        </w:rPr>
      </w:pPr>
      <w:bookmarkStart w:id="5" w:name="5"/>
      <w:bookmarkEnd w:id="5"/>
      <w:r w:rsidRPr="002A0E41">
        <w:rPr>
          <w:rFonts w:ascii="Times" w:eastAsia="Times New Roman" w:hAnsi="Times" w:cs="Times New Roman"/>
          <w:sz w:val="20"/>
          <w:szCs w:val="20"/>
        </w:rPr>
        <w:t xml:space="preserve">ARTICULO 5o. RECURSOS DEL FONDO DE CONTINGENCIAS DE LAS ENTIDADES ESTATALES. Los recursos del Fondo de Contingencias de las Entidades Estatales serán las siguientes: </w:t>
      </w:r>
    </w:p>
    <w:p w14:paraId="36F6D050" w14:textId="77777777" w:rsidR="002A0E41" w:rsidRPr="002A0E41" w:rsidRDefault="002A0E41" w:rsidP="00F55F22">
      <w:pPr>
        <w:jc w:val="both"/>
        <w:rPr>
          <w:rFonts w:ascii="Times" w:eastAsia="Times New Roman" w:hAnsi="Times" w:cs="Times New Roman"/>
          <w:sz w:val="20"/>
          <w:szCs w:val="20"/>
        </w:rPr>
      </w:pPr>
      <w:r w:rsidRPr="002A0E41">
        <w:rPr>
          <w:rFonts w:ascii="Times" w:eastAsia="Times New Roman" w:hAnsi="Times" w:cs="Times New Roman"/>
          <w:sz w:val="20"/>
          <w:szCs w:val="20"/>
        </w:rPr>
        <w:t xml:space="preserve">1. Los aportes realizados por las Entidades Estatales. </w:t>
      </w:r>
    </w:p>
    <w:p w14:paraId="35A263B8" w14:textId="77777777" w:rsidR="002A0E41" w:rsidRPr="002A0E41" w:rsidRDefault="002A0E41" w:rsidP="00F55F22">
      <w:pPr>
        <w:jc w:val="both"/>
        <w:rPr>
          <w:rFonts w:ascii="Times" w:eastAsia="Times New Roman" w:hAnsi="Times" w:cs="Times New Roman"/>
          <w:sz w:val="20"/>
          <w:szCs w:val="20"/>
        </w:rPr>
      </w:pPr>
      <w:r w:rsidRPr="002A0E41">
        <w:rPr>
          <w:rFonts w:ascii="Times" w:eastAsia="Times New Roman" w:hAnsi="Times" w:cs="Times New Roman"/>
          <w:sz w:val="20"/>
          <w:szCs w:val="20"/>
        </w:rPr>
        <w:t xml:space="preserve">2. Los aportes del Presupuesto Nacional. </w:t>
      </w:r>
    </w:p>
    <w:p w14:paraId="31D85320" w14:textId="77777777" w:rsidR="002A0E41" w:rsidRPr="002A0E41" w:rsidRDefault="002A0E41" w:rsidP="00F55F22">
      <w:pPr>
        <w:jc w:val="both"/>
        <w:rPr>
          <w:rFonts w:ascii="Times" w:eastAsia="Times New Roman" w:hAnsi="Times" w:cs="Times New Roman"/>
          <w:sz w:val="20"/>
          <w:szCs w:val="20"/>
        </w:rPr>
      </w:pPr>
      <w:r w:rsidRPr="002A0E41">
        <w:rPr>
          <w:rFonts w:ascii="Times" w:eastAsia="Times New Roman" w:hAnsi="Times" w:cs="Times New Roman"/>
          <w:sz w:val="20"/>
          <w:szCs w:val="20"/>
        </w:rPr>
        <w:t xml:space="preserve">3. Los rendimientos financieros que generen sus recursos. </w:t>
      </w:r>
    </w:p>
    <w:p w14:paraId="52F9BED4" w14:textId="77777777" w:rsidR="002A0E41" w:rsidRPr="002A0E41" w:rsidRDefault="002A0E41" w:rsidP="00F55F22">
      <w:pPr>
        <w:jc w:val="both"/>
        <w:rPr>
          <w:rFonts w:ascii="Times" w:eastAsia="Times New Roman" w:hAnsi="Times" w:cs="Times New Roman"/>
          <w:sz w:val="20"/>
          <w:szCs w:val="20"/>
        </w:rPr>
      </w:pPr>
      <w:r w:rsidRPr="002A0E41">
        <w:rPr>
          <w:rFonts w:ascii="Times" w:eastAsia="Times New Roman" w:hAnsi="Times" w:cs="Times New Roman"/>
          <w:sz w:val="20"/>
          <w:szCs w:val="20"/>
        </w:rPr>
        <w:t xml:space="preserve">4. La recuperación de cartera. </w:t>
      </w:r>
    </w:p>
    <w:p w14:paraId="521A9A70" w14:textId="77777777" w:rsidR="002A0E41" w:rsidRPr="002A0E41" w:rsidRDefault="002A0E41" w:rsidP="00F55F22">
      <w:pPr>
        <w:jc w:val="both"/>
        <w:rPr>
          <w:rFonts w:ascii="Times" w:eastAsia="Times New Roman" w:hAnsi="Times" w:cs="Times New Roman"/>
          <w:sz w:val="20"/>
          <w:szCs w:val="20"/>
        </w:rPr>
      </w:pPr>
      <w:r w:rsidRPr="002A0E41">
        <w:rPr>
          <w:rFonts w:ascii="Times" w:eastAsia="Times New Roman" w:hAnsi="Times" w:cs="Times New Roman"/>
          <w:sz w:val="20"/>
          <w:szCs w:val="20"/>
        </w:rPr>
        <w:t xml:space="preserve">PARAGRAFO. Previa incorporación al presupuesto del Fondo, los costos que genere su administración, podrán ser cubiertos con cargo a los rendimientos de los recursos aportados por las Entidades contribuyentes. </w:t>
      </w:r>
    </w:p>
    <w:p w14:paraId="61A3A934" w14:textId="77777777" w:rsidR="002A0E41" w:rsidRPr="002A0E41" w:rsidRDefault="002A0E41" w:rsidP="00F55F22">
      <w:pPr>
        <w:jc w:val="both"/>
        <w:rPr>
          <w:rFonts w:ascii="Times" w:eastAsia="Times New Roman" w:hAnsi="Times" w:cs="Times New Roman"/>
          <w:sz w:val="20"/>
          <w:szCs w:val="20"/>
        </w:rPr>
      </w:pPr>
      <w:bookmarkStart w:id="6" w:name="6"/>
      <w:bookmarkEnd w:id="6"/>
      <w:r w:rsidRPr="002A0E41">
        <w:rPr>
          <w:rFonts w:ascii="Times" w:eastAsia="Times New Roman" w:hAnsi="Times" w:cs="Times New Roman"/>
          <w:sz w:val="20"/>
          <w:szCs w:val="20"/>
        </w:rPr>
        <w:t xml:space="preserve">ARTICULO 6o. APROBACION Y SEGUIMIENTO DE LA VALORACION DE LAS CONTINGENCIAS. La Dirección General de Crédito Público del Ministerio de Hacienda y Crédito Público, aprobará las valoraciones de las obligaciones contingentes que realicen las Entidades Estatales que efectúen aportes al Fondo. Igualmente, esta Dirección realizará un seguimiento periódico a la evolución de los riesgos cubiertos por el Fondo y determinará el incremento o la disminución de los aportes que fueren necesarios, de conformidad con las disposiciones presupuestales. </w:t>
      </w:r>
    </w:p>
    <w:p w14:paraId="5E9F2D05" w14:textId="77777777" w:rsidR="002A0E41" w:rsidRPr="002A0E41" w:rsidRDefault="002A0E41" w:rsidP="00F55F22">
      <w:pPr>
        <w:jc w:val="both"/>
        <w:rPr>
          <w:rFonts w:ascii="Times" w:eastAsia="Times New Roman" w:hAnsi="Times" w:cs="Times New Roman"/>
          <w:sz w:val="20"/>
          <w:szCs w:val="20"/>
        </w:rPr>
      </w:pPr>
      <w:bookmarkStart w:id="7" w:name="7"/>
      <w:bookmarkEnd w:id="7"/>
      <w:r w:rsidRPr="002A0E41">
        <w:rPr>
          <w:rFonts w:ascii="Times" w:eastAsia="Times New Roman" w:hAnsi="Times" w:cs="Times New Roman"/>
          <w:sz w:val="20"/>
          <w:szCs w:val="20"/>
        </w:rPr>
        <w:t xml:space="preserve">ARTICULO 7o. SISTEMA DE COLOCACIÓN DE LOS TÍTULOS DE DEUDA PÚBLICA DE LA NACIÓN. Para efectos de la colocación de sus títulos de deuda pública, la Nación podrá utilizar a los establecimientos de crédito como intermediarios de valores. </w:t>
      </w:r>
    </w:p>
    <w:p w14:paraId="1B8EFFB2" w14:textId="77777777" w:rsidR="002A0E41" w:rsidRPr="002A0E41" w:rsidRDefault="002A0E41" w:rsidP="00F55F22">
      <w:pPr>
        <w:jc w:val="both"/>
        <w:rPr>
          <w:rFonts w:ascii="Times" w:eastAsia="Times New Roman" w:hAnsi="Times" w:cs="Times New Roman"/>
          <w:sz w:val="20"/>
          <w:szCs w:val="20"/>
        </w:rPr>
      </w:pPr>
      <w:bookmarkStart w:id="8" w:name="8"/>
      <w:bookmarkEnd w:id="8"/>
      <w:r w:rsidRPr="002A0E41">
        <w:rPr>
          <w:rFonts w:ascii="Times" w:eastAsia="Times New Roman" w:hAnsi="Times" w:cs="Times New Roman"/>
          <w:sz w:val="20"/>
          <w:szCs w:val="20"/>
        </w:rPr>
        <w:t xml:space="preserve">ARTICULO 8o. PROTECCIÓN DE LOS TENEDORES DE LOS TÍTULOS DE DEUDA PÚBLICA DE LA NACIÓN. &lt;Artículo modificado por el artículo </w:t>
      </w:r>
      <w:r w:rsidRPr="002A0E41">
        <w:rPr>
          <w:rFonts w:ascii="Times" w:eastAsia="Times New Roman" w:hAnsi="Times" w:cs="Times New Roman"/>
          <w:sz w:val="20"/>
          <w:szCs w:val="20"/>
        </w:rPr>
        <w:fldChar w:fldCharType="begin"/>
      </w:r>
      <w:r w:rsidRPr="002A0E41">
        <w:rPr>
          <w:rFonts w:ascii="Times" w:eastAsia="Times New Roman" w:hAnsi="Times" w:cs="Times New Roman"/>
          <w:sz w:val="20"/>
          <w:szCs w:val="20"/>
        </w:rPr>
        <w:instrText xml:space="preserve"> HYPERLINK "http://www.secretariasenado.gov.co/senado/basedoc/ley/1999/ley_0510_1999_pr001.html" \l "71" \t "_blank" </w:instrText>
      </w:r>
      <w:r w:rsidRPr="002A0E41">
        <w:rPr>
          <w:rFonts w:ascii="Times" w:eastAsia="Times New Roman" w:hAnsi="Times" w:cs="Times New Roman"/>
          <w:sz w:val="20"/>
          <w:szCs w:val="20"/>
        </w:rPr>
      </w:r>
      <w:r w:rsidRPr="002A0E41">
        <w:rPr>
          <w:rFonts w:ascii="Times" w:eastAsia="Times New Roman" w:hAnsi="Times" w:cs="Times New Roman"/>
          <w:sz w:val="20"/>
          <w:szCs w:val="20"/>
        </w:rPr>
        <w:fldChar w:fldCharType="separate"/>
      </w:r>
      <w:r w:rsidRPr="002A0E41">
        <w:rPr>
          <w:rFonts w:ascii="Times" w:eastAsia="Times New Roman" w:hAnsi="Times" w:cs="Times New Roman"/>
          <w:color w:val="0000FF"/>
          <w:sz w:val="20"/>
          <w:szCs w:val="20"/>
          <w:u w:val="single"/>
        </w:rPr>
        <w:t>71</w:t>
      </w:r>
      <w:r w:rsidRPr="002A0E41">
        <w:rPr>
          <w:rFonts w:ascii="Times" w:eastAsia="Times New Roman" w:hAnsi="Times" w:cs="Times New Roman"/>
          <w:sz w:val="20"/>
          <w:szCs w:val="20"/>
        </w:rPr>
        <w:fldChar w:fldCharType="end"/>
      </w:r>
      <w:r w:rsidRPr="002A0E41">
        <w:rPr>
          <w:rFonts w:ascii="Times" w:eastAsia="Times New Roman" w:hAnsi="Times" w:cs="Times New Roman"/>
          <w:sz w:val="20"/>
          <w:szCs w:val="20"/>
        </w:rPr>
        <w:t xml:space="preserve"> de la Ley 510 de 1999. El nuevo texto es el siguiente:&gt; En concordancia con las normas del Código de Comercio sobre la circulación de los títulos valores, en los procesos penales en los que se investigue la comisión de hechos punibles relacionados con títulos inscritos en </w:t>
      </w:r>
      <w:r w:rsidRPr="002A0E41">
        <w:rPr>
          <w:rFonts w:ascii="Times" w:eastAsia="Times New Roman" w:hAnsi="Times" w:cs="Times New Roman"/>
          <w:sz w:val="20"/>
          <w:szCs w:val="20"/>
        </w:rPr>
        <w:lastRenderedPageBreak/>
        <w:t xml:space="preserve">el Registro Nacional de Valores e Intermediarios, las medidas previstas en el artículo 14 del Código de Procedimiento Penal sólo procederán contra los autores o copartícipes del hecho punible o contra cualquier tenedor que no sea de buena fe exenta de culpa. </w:t>
      </w:r>
    </w:p>
    <w:p w14:paraId="57F41233" w14:textId="77777777" w:rsidR="002A0E41" w:rsidRPr="002A0E41" w:rsidRDefault="002A0E41" w:rsidP="00F55F22">
      <w:pPr>
        <w:jc w:val="both"/>
        <w:rPr>
          <w:rFonts w:ascii="Times" w:eastAsia="Times New Roman" w:hAnsi="Times" w:cs="Times New Roman"/>
          <w:sz w:val="20"/>
          <w:szCs w:val="20"/>
        </w:rPr>
      </w:pPr>
      <w:hyperlink r:id="rId7" w:history="1">
        <w:r w:rsidRPr="002A0E41">
          <w:rPr>
            <w:rFonts w:ascii="Times" w:eastAsia="Times New Roman" w:hAnsi="Times" w:cs="Times New Roman"/>
            <w:color w:val="0000FF"/>
            <w:sz w:val="20"/>
            <w:szCs w:val="20"/>
            <w:u w:val="single"/>
          </w:rPr>
          <w:t xml:space="preserve">&lt;Notas de vigencia&gt; </w:t>
        </w:r>
      </w:hyperlink>
    </w:p>
    <w:tbl>
      <w:tblPr>
        <w:tblW w:w="5000" w:type="pct"/>
        <w:tblCellSpacing w:w="0"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9108"/>
      </w:tblGrid>
      <w:tr w:rsidR="002A0E41" w:rsidRPr="002A0E41" w14:paraId="2BE1BC2A" w14:textId="77777777" w:rsidTr="002A0E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6B13C1" w14:textId="77777777" w:rsidR="002A0E41" w:rsidRPr="002A0E41" w:rsidRDefault="002A0E41" w:rsidP="00F55F22">
            <w:pPr>
              <w:jc w:val="both"/>
              <w:rPr>
                <w:rFonts w:ascii="Times" w:eastAsia="Times New Roman" w:hAnsi="Times" w:cs="Times New Roman"/>
                <w:sz w:val="20"/>
                <w:szCs w:val="20"/>
              </w:rPr>
            </w:pPr>
          </w:p>
        </w:tc>
      </w:tr>
    </w:tbl>
    <w:p w14:paraId="0DFC6410" w14:textId="77777777" w:rsidR="002A0E41" w:rsidRPr="002A0E41" w:rsidRDefault="002A0E41" w:rsidP="00F55F22">
      <w:pPr>
        <w:jc w:val="both"/>
        <w:rPr>
          <w:rFonts w:ascii="Times" w:eastAsia="Times New Roman" w:hAnsi="Times" w:cs="Times New Roman"/>
          <w:sz w:val="20"/>
          <w:szCs w:val="20"/>
        </w:rPr>
      </w:pPr>
      <w:hyperlink r:id="rId8" w:history="1">
        <w:r w:rsidRPr="002A0E41">
          <w:rPr>
            <w:rFonts w:ascii="Times" w:eastAsia="Times New Roman" w:hAnsi="Times" w:cs="Times New Roman"/>
            <w:color w:val="0000FF"/>
            <w:sz w:val="20"/>
            <w:szCs w:val="20"/>
            <w:u w:val="single"/>
          </w:rPr>
          <w:t xml:space="preserve">&lt;Legislación anterior&gt; </w:t>
        </w:r>
      </w:hyperlink>
    </w:p>
    <w:tbl>
      <w:tblPr>
        <w:tblW w:w="5000" w:type="pct"/>
        <w:tblCellSpacing w:w="0"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9108"/>
      </w:tblGrid>
      <w:tr w:rsidR="002A0E41" w:rsidRPr="002A0E41" w14:paraId="1B53D588" w14:textId="77777777" w:rsidTr="002A0E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977442" w14:textId="77777777" w:rsidR="002A0E41" w:rsidRPr="002A0E41" w:rsidRDefault="002A0E41" w:rsidP="00F55F22">
            <w:pPr>
              <w:jc w:val="both"/>
              <w:rPr>
                <w:rFonts w:ascii="Times" w:eastAsia="Times New Roman" w:hAnsi="Times" w:cs="Times New Roman"/>
                <w:sz w:val="20"/>
                <w:szCs w:val="20"/>
              </w:rPr>
            </w:pPr>
          </w:p>
        </w:tc>
      </w:tr>
    </w:tbl>
    <w:p w14:paraId="7A3375CE" w14:textId="77777777" w:rsidR="002A0E41" w:rsidRPr="002A0E41" w:rsidRDefault="002A0E41" w:rsidP="00F55F22">
      <w:pPr>
        <w:jc w:val="both"/>
        <w:rPr>
          <w:rFonts w:ascii="Times" w:eastAsia="Times New Roman" w:hAnsi="Times" w:cs="Times New Roman"/>
          <w:sz w:val="20"/>
          <w:szCs w:val="20"/>
        </w:rPr>
      </w:pPr>
      <w:bookmarkStart w:id="9" w:name="9"/>
      <w:bookmarkEnd w:id="9"/>
      <w:r w:rsidRPr="002A0E41">
        <w:rPr>
          <w:rFonts w:ascii="Times" w:eastAsia="Times New Roman" w:hAnsi="Times" w:cs="Times New Roman"/>
          <w:sz w:val="20"/>
          <w:szCs w:val="20"/>
        </w:rPr>
        <w:t xml:space="preserve">ARTICULO 9o. VIGENCIA Y DEROGACION. La presente ley rige a partir de la fecha de su promulgación y deroga las disposiciones que le sean contrarias. </w:t>
      </w:r>
    </w:p>
    <w:p w14:paraId="233B50E8" w14:textId="77777777" w:rsidR="002A0E41" w:rsidRPr="002A0E41" w:rsidRDefault="002A0E41" w:rsidP="00F55F22">
      <w:pPr>
        <w:jc w:val="both"/>
        <w:rPr>
          <w:rFonts w:ascii="Times" w:eastAsia="Times New Roman" w:hAnsi="Times" w:cs="Times New Roman"/>
          <w:sz w:val="20"/>
          <w:szCs w:val="20"/>
        </w:rPr>
      </w:pPr>
      <w:r w:rsidRPr="002A0E41">
        <w:rPr>
          <w:rFonts w:ascii="Times" w:eastAsia="Times New Roman" w:hAnsi="Times" w:cs="Times New Roman"/>
          <w:sz w:val="20"/>
          <w:szCs w:val="20"/>
        </w:rPr>
        <w:t xml:space="preserve">El Presidente del honorable Senado de la República, </w:t>
      </w:r>
    </w:p>
    <w:p w14:paraId="359B8B81" w14:textId="77777777" w:rsidR="002A0E41" w:rsidRPr="002A0E41" w:rsidRDefault="002A0E41" w:rsidP="00F55F22">
      <w:pPr>
        <w:jc w:val="both"/>
        <w:rPr>
          <w:rFonts w:ascii="Times" w:eastAsia="Times New Roman" w:hAnsi="Times" w:cs="Times New Roman"/>
          <w:sz w:val="20"/>
          <w:szCs w:val="20"/>
        </w:rPr>
      </w:pPr>
      <w:r w:rsidRPr="002A0E41">
        <w:rPr>
          <w:rFonts w:ascii="Times" w:eastAsia="Times New Roman" w:hAnsi="Times" w:cs="Times New Roman"/>
          <w:color w:val="808080"/>
        </w:rPr>
        <w:t xml:space="preserve">Amylkar Acosta Medina. </w:t>
      </w:r>
    </w:p>
    <w:p w14:paraId="2B43A8AF" w14:textId="77777777" w:rsidR="002A0E41" w:rsidRPr="002A0E41" w:rsidRDefault="002A0E41" w:rsidP="00F55F22">
      <w:pPr>
        <w:jc w:val="both"/>
        <w:rPr>
          <w:rFonts w:ascii="Times" w:eastAsia="Times New Roman" w:hAnsi="Times" w:cs="Times New Roman"/>
          <w:sz w:val="20"/>
          <w:szCs w:val="20"/>
        </w:rPr>
      </w:pPr>
      <w:r w:rsidRPr="002A0E41">
        <w:rPr>
          <w:rFonts w:ascii="Times" w:eastAsia="Times New Roman" w:hAnsi="Times" w:cs="Times New Roman"/>
          <w:sz w:val="20"/>
          <w:szCs w:val="20"/>
        </w:rPr>
        <w:t xml:space="preserve">El Secretario General del honorable Senado de la República, </w:t>
      </w:r>
    </w:p>
    <w:p w14:paraId="5DAB0CBA" w14:textId="77777777" w:rsidR="002A0E41" w:rsidRPr="002A0E41" w:rsidRDefault="002A0E41" w:rsidP="00F55F22">
      <w:pPr>
        <w:jc w:val="both"/>
        <w:rPr>
          <w:rFonts w:ascii="Times" w:eastAsia="Times New Roman" w:hAnsi="Times" w:cs="Times New Roman"/>
          <w:sz w:val="20"/>
          <w:szCs w:val="20"/>
        </w:rPr>
      </w:pPr>
      <w:r w:rsidRPr="002A0E41">
        <w:rPr>
          <w:rFonts w:ascii="Times" w:eastAsia="Times New Roman" w:hAnsi="Times" w:cs="Times New Roman"/>
          <w:color w:val="808080"/>
        </w:rPr>
        <w:t xml:space="preserve">Pedro Pumarejo Vega. </w:t>
      </w:r>
    </w:p>
    <w:p w14:paraId="06141C88" w14:textId="77777777" w:rsidR="002A0E41" w:rsidRPr="002A0E41" w:rsidRDefault="002A0E41" w:rsidP="00F55F22">
      <w:pPr>
        <w:jc w:val="both"/>
        <w:rPr>
          <w:rFonts w:ascii="Times" w:eastAsia="Times New Roman" w:hAnsi="Times" w:cs="Times New Roman"/>
          <w:sz w:val="20"/>
          <w:szCs w:val="20"/>
        </w:rPr>
      </w:pPr>
      <w:r w:rsidRPr="002A0E41">
        <w:rPr>
          <w:rFonts w:ascii="Times" w:eastAsia="Times New Roman" w:hAnsi="Times" w:cs="Times New Roman"/>
          <w:sz w:val="20"/>
          <w:szCs w:val="20"/>
        </w:rPr>
        <w:t xml:space="preserve">El Presidente de la honorable Cámara de Representantes, </w:t>
      </w:r>
    </w:p>
    <w:p w14:paraId="4C974288" w14:textId="77777777" w:rsidR="002A0E41" w:rsidRPr="002A0E41" w:rsidRDefault="002A0E41" w:rsidP="00F55F22">
      <w:pPr>
        <w:jc w:val="both"/>
        <w:rPr>
          <w:rFonts w:ascii="Times" w:eastAsia="Times New Roman" w:hAnsi="Times" w:cs="Times New Roman"/>
          <w:sz w:val="20"/>
          <w:szCs w:val="20"/>
        </w:rPr>
      </w:pPr>
      <w:r w:rsidRPr="002A0E41">
        <w:rPr>
          <w:rFonts w:ascii="Times" w:eastAsia="Times New Roman" w:hAnsi="Times" w:cs="Times New Roman"/>
          <w:color w:val="808080"/>
        </w:rPr>
        <w:t xml:space="preserve">Carlos Ardila Ballesteros. </w:t>
      </w:r>
    </w:p>
    <w:p w14:paraId="61E02CED" w14:textId="77777777" w:rsidR="002A0E41" w:rsidRPr="002A0E41" w:rsidRDefault="002A0E41" w:rsidP="00F55F22">
      <w:pPr>
        <w:jc w:val="both"/>
        <w:rPr>
          <w:rFonts w:ascii="Times" w:eastAsia="Times New Roman" w:hAnsi="Times" w:cs="Times New Roman"/>
          <w:sz w:val="20"/>
          <w:szCs w:val="20"/>
        </w:rPr>
      </w:pPr>
      <w:r w:rsidRPr="002A0E41">
        <w:rPr>
          <w:rFonts w:ascii="Times" w:eastAsia="Times New Roman" w:hAnsi="Times" w:cs="Times New Roman"/>
          <w:sz w:val="20"/>
          <w:szCs w:val="20"/>
        </w:rPr>
        <w:t xml:space="preserve">El Secretario General de la honorable Cámara de Representantes, </w:t>
      </w:r>
    </w:p>
    <w:p w14:paraId="702871E9" w14:textId="77777777" w:rsidR="002A0E41" w:rsidRPr="002A0E41" w:rsidRDefault="002A0E41" w:rsidP="00F55F22">
      <w:pPr>
        <w:jc w:val="both"/>
        <w:rPr>
          <w:rFonts w:ascii="Times" w:eastAsia="Times New Roman" w:hAnsi="Times" w:cs="Times New Roman"/>
          <w:sz w:val="20"/>
          <w:szCs w:val="20"/>
        </w:rPr>
      </w:pPr>
      <w:r w:rsidRPr="002A0E41">
        <w:rPr>
          <w:rFonts w:ascii="Times" w:eastAsia="Times New Roman" w:hAnsi="Times" w:cs="Times New Roman"/>
          <w:color w:val="808080"/>
        </w:rPr>
        <w:t xml:space="preserve">Diego Vivas Tafur. </w:t>
      </w:r>
    </w:p>
    <w:p w14:paraId="5AA6F479" w14:textId="77777777" w:rsidR="002A0E41" w:rsidRPr="002A0E41" w:rsidRDefault="002A0E41" w:rsidP="00F55F22">
      <w:pPr>
        <w:jc w:val="both"/>
        <w:rPr>
          <w:rFonts w:ascii="Times" w:eastAsia="Times New Roman" w:hAnsi="Times" w:cs="Times New Roman"/>
          <w:sz w:val="20"/>
          <w:szCs w:val="20"/>
        </w:rPr>
      </w:pPr>
      <w:r w:rsidRPr="002A0E41">
        <w:rPr>
          <w:rFonts w:ascii="Times" w:eastAsia="Times New Roman" w:hAnsi="Times" w:cs="Times New Roman"/>
          <w:color w:val="808080"/>
        </w:rPr>
        <w:t xml:space="preserve">REPUBLICA DE COLOMBIA - GOBIERNO NACIONAL </w:t>
      </w:r>
    </w:p>
    <w:p w14:paraId="51FDB779" w14:textId="77777777" w:rsidR="002A0E41" w:rsidRPr="002A0E41" w:rsidRDefault="002A0E41" w:rsidP="00F55F22">
      <w:pPr>
        <w:jc w:val="both"/>
        <w:rPr>
          <w:rFonts w:ascii="Times" w:eastAsia="Times New Roman" w:hAnsi="Times" w:cs="Times New Roman"/>
          <w:sz w:val="20"/>
          <w:szCs w:val="20"/>
        </w:rPr>
      </w:pPr>
      <w:r w:rsidRPr="002A0E41">
        <w:rPr>
          <w:rFonts w:ascii="Times" w:eastAsia="Times New Roman" w:hAnsi="Times" w:cs="Times New Roman"/>
          <w:color w:val="808080"/>
        </w:rPr>
        <w:t xml:space="preserve">PUBLIQUESE Y EJECUTESE. </w:t>
      </w:r>
    </w:p>
    <w:p w14:paraId="0D747DEB" w14:textId="77777777" w:rsidR="002A0E41" w:rsidRPr="002A0E41" w:rsidRDefault="002A0E41" w:rsidP="00F55F22">
      <w:pPr>
        <w:jc w:val="both"/>
        <w:rPr>
          <w:rFonts w:ascii="Times" w:eastAsia="Times New Roman" w:hAnsi="Times" w:cs="Times New Roman"/>
          <w:sz w:val="20"/>
          <w:szCs w:val="20"/>
        </w:rPr>
      </w:pPr>
      <w:r w:rsidRPr="002A0E41">
        <w:rPr>
          <w:rFonts w:ascii="Times" w:eastAsia="Times New Roman" w:hAnsi="Times" w:cs="Times New Roman"/>
          <w:sz w:val="20"/>
          <w:szCs w:val="20"/>
        </w:rPr>
        <w:t xml:space="preserve">Dada en Santa Fe de Bogotá, D. C., a 21 de julio de 1998. </w:t>
      </w:r>
    </w:p>
    <w:p w14:paraId="490F557F" w14:textId="77777777" w:rsidR="002A0E41" w:rsidRPr="002A0E41" w:rsidRDefault="002A0E41" w:rsidP="00F55F22">
      <w:pPr>
        <w:jc w:val="both"/>
        <w:rPr>
          <w:rFonts w:ascii="Times" w:eastAsia="Times New Roman" w:hAnsi="Times" w:cs="Times New Roman"/>
          <w:sz w:val="20"/>
          <w:szCs w:val="20"/>
        </w:rPr>
      </w:pPr>
      <w:r w:rsidRPr="002A0E41">
        <w:rPr>
          <w:rFonts w:ascii="Times" w:eastAsia="Times New Roman" w:hAnsi="Times" w:cs="Times New Roman"/>
          <w:color w:val="808080"/>
        </w:rPr>
        <w:t xml:space="preserve">ERNESTO SAMPER PIZANO </w:t>
      </w:r>
    </w:p>
    <w:p w14:paraId="6C4FBAA8" w14:textId="77777777" w:rsidR="002A0E41" w:rsidRPr="002A0E41" w:rsidRDefault="002A0E41" w:rsidP="00F55F22">
      <w:pPr>
        <w:jc w:val="both"/>
        <w:rPr>
          <w:rFonts w:ascii="Times" w:eastAsia="Times New Roman" w:hAnsi="Times" w:cs="Times New Roman"/>
          <w:sz w:val="20"/>
          <w:szCs w:val="20"/>
        </w:rPr>
      </w:pPr>
      <w:r w:rsidRPr="002A0E41">
        <w:rPr>
          <w:rFonts w:ascii="Times" w:eastAsia="Times New Roman" w:hAnsi="Times" w:cs="Times New Roman"/>
          <w:sz w:val="20"/>
          <w:szCs w:val="20"/>
        </w:rPr>
        <w:t xml:space="preserve">El Ministro de Hacienda y Crédito Público, </w:t>
      </w:r>
    </w:p>
    <w:p w14:paraId="49B8B0D9" w14:textId="77777777" w:rsidR="002A0E41" w:rsidRPr="002A0E41" w:rsidRDefault="002A0E41" w:rsidP="00F55F22">
      <w:pPr>
        <w:jc w:val="both"/>
        <w:rPr>
          <w:rFonts w:ascii="Times" w:eastAsia="Times New Roman" w:hAnsi="Times" w:cs="Times New Roman"/>
          <w:sz w:val="20"/>
          <w:szCs w:val="20"/>
        </w:rPr>
      </w:pPr>
      <w:r w:rsidRPr="002A0E41">
        <w:rPr>
          <w:rFonts w:ascii="Times" w:eastAsia="Times New Roman" w:hAnsi="Times" w:cs="Times New Roman"/>
          <w:color w:val="808080"/>
        </w:rPr>
        <w:t xml:space="preserve">Antonio José Urdinola Uribe. </w:t>
      </w:r>
    </w:p>
    <w:p w14:paraId="4D654B60" w14:textId="77777777" w:rsidR="00D16CBE" w:rsidRDefault="00D16CBE" w:rsidP="00F55F22">
      <w:pPr>
        <w:jc w:val="both"/>
      </w:pPr>
    </w:p>
    <w:bookmarkEnd w:id="0"/>
    <w:sectPr w:rsidR="00D16CBE" w:rsidSect="00D16CB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E41"/>
    <w:rsid w:val="002A0E41"/>
    <w:rsid w:val="00D16CBE"/>
    <w:rsid w:val="00F55F2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AE1A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navy">
    <w:name w:val="texto_navy"/>
    <w:basedOn w:val="Fuentedeprrafopredeter"/>
    <w:rsid w:val="002A0E41"/>
  </w:style>
  <w:style w:type="character" w:styleId="Hipervnculo">
    <w:name w:val="Hyperlink"/>
    <w:basedOn w:val="Fuentedeprrafopredeter"/>
    <w:uiPriority w:val="99"/>
    <w:semiHidden/>
    <w:unhideWhenUsed/>
    <w:rsid w:val="002A0E41"/>
    <w:rPr>
      <w:color w:val="0000FF"/>
      <w:u w:val="single"/>
    </w:rPr>
  </w:style>
  <w:style w:type="paragraph" w:styleId="Textodeglobo">
    <w:name w:val="Balloon Text"/>
    <w:basedOn w:val="Normal"/>
    <w:link w:val="TextodegloboCar"/>
    <w:uiPriority w:val="99"/>
    <w:semiHidden/>
    <w:unhideWhenUsed/>
    <w:rsid w:val="002A0E4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A0E4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navy">
    <w:name w:val="texto_navy"/>
    <w:basedOn w:val="Fuentedeprrafopredeter"/>
    <w:rsid w:val="002A0E41"/>
  </w:style>
  <w:style w:type="character" w:styleId="Hipervnculo">
    <w:name w:val="Hyperlink"/>
    <w:basedOn w:val="Fuentedeprrafopredeter"/>
    <w:uiPriority w:val="99"/>
    <w:semiHidden/>
    <w:unhideWhenUsed/>
    <w:rsid w:val="002A0E41"/>
    <w:rPr>
      <w:color w:val="0000FF"/>
      <w:u w:val="single"/>
    </w:rPr>
  </w:style>
  <w:style w:type="paragraph" w:styleId="Textodeglobo">
    <w:name w:val="Balloon Text"/>
    <w:basedOn w:val="Normal"/>
    <w:link w:val="TextodegloboCar"/>
    <w:uiPriority w:val="99"/>
    <w:semiHidden/>
    <w:unhideWhenUsed/>
    <w:rsid w:val="002A0E4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A0E4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534005">
      <w:bodyDiv w:val="1"/>
      <w:marLeft w:val="0"/>
      <w:marRight w:val="0"/>
      <w:marTop w:val="0"/>
      <w:marBottom w:val="0"/>
      <w:divBdr>
        <w:top w:val="none" w:sz="0" w:space="0" w:color="auto"/>
        <w:left w:val="none" w:sz="0" w:space="0" w:color="auto"/>
        <w:bottom w:val="none" w:sz="0" w:space="0" w:color="auto"/>
        <w:right w:val="none" w:sz="0" w:space="0" w:color="auto"/>
      </w:divBdr>
      <w:divsChild>
        <w:div w:id="418408906">
          <w:marLeft w:val="0"/>
          <w:marRight w:val="0"/>
          <w:marTop w:val="0"/>
          <w:marBottom w:val="0"/>
          <w:divBdr>
            <w:top w:val="none" w:sz="0" w:space="0" w:color="auto"/>
            <w:left w:val="none" w:sz="0" w:space="0" w:color="auto"/>
            <w:bottom w:val="none" w:sz="0" w:space="0" w:color="auto"/>
            <w:right w:val="none" w:sz="0" w:space="0" w:color="auto"/>
          </w:divBdr>
        </w:div>
        <w:div w:id="271520633">
          <w:marLeft w:val="0"/>
          <w:marRight w:val="0"/>
          <w:marTop w:val="0"/>
          <w:marBottom w:val="0"/>
          <w:divBdr>
            <w:top w:val="none" w:sz="0" w:space="0" w:color="auto"/>
            <w:left w:val="none" w:sz="0" w:space="0" w:color="auto"/>
            <w:bottom w:val="none" w:sz="0" w:space="0" w:color="auto"/>
            <w:right w:val="none" w:sz="0" w:space="0" w:color="auto"/>
          </w:divBdr>
        </w:div>
        <w:div w:id="268466398">
          <w:marLeft w:val="0"/>
          <w:marRight w:val="0"/>
          <w:marTop w:val="0"/>
          <w:marBottom w:val="0"/>
          <w:divBdr>
            <w:top w:val="none" w:sz="0" w:space="0" w:color="auto"/>
            <w:left w:val="none" w:sz="0" w:space="0" w:color="auto"/>
            <w:bottom w:val="none" w:sz="0" w:space="0" w:color="auto"/>
            <w:right w:val="none" w:sz="0" w:space="0" w:color="auto"/>
          </w:divBdr>
        </w:div>
        <w:div w:id="127289580">
          <w:marLeft w:val="0"/>
          <w:marRight w:val="0"/>
          <w:marTop w:val="0"/>
          <w:marBottom w:val="0"/>
          <w:divBdr>
            <w:top w:val="none" w:sz="0" w:space="0" w:color="auto"/>
            <w:left w:val="none" w:sz="0" w:space="0" w:color="auto"/>
            <w:bottom w:val="none" w:sz="0" w:space="0" w:color="auto"/>
            <w:right w:val="none" w:sz="0" w:space="0" w:color="auto"/>
          </w:divBdr>
        </w:div>
        <w:div w:id="420568243">
          <w:marLeft w:val="0"/>
          <w:marRight w:val="0"/>
          <w:marTop w:val="0"/>
          <w:marBottom w:val="0"/>
          <w:divBdr>
            <w:top w:val="none" w:sz="0" w:space="0" w:color="auto"/>
            <w:left w:val="none" w:sz="0" w:space="0" w:color="auto"/>
            <w:bottom w:val="none" w:sz="0" w:space="0" w:color="auto"/>
            <w:right w:val="none" w:sz="0" w:space="0" w:color="auto"/>
          </w:divBdr>
        </w:div>
        <w:div w:id="1109470619">
          <w:marLeft w:val="0"/>
          <w:marRight w:val="0"/>
          <w:marTop w:val="0"/>
          <w:marBottom w:val="0"/>
          <w:divBdr>
            <w:top w:val="none" w:sz="0" w:space="0" w:color="auto"/>
            <w:left w:val="none" w:sz="0" w:space="0" w:color="auto"/>
            <w:bottom w:val="none" w:sz="0" w:space="0" w:color="auto"/>
            <w:right w:val="none" w:sz="0" w:space="0" w:color="auto"/>
          </w:divBdr>
        </w:div>
        <w:div w:id="747307348">
          <w:marLeft w:val="0"/>
          <w:marRight w:val="0"/>
          <w:marTop w:val="0"/>
          <w:marBottom w:val="0"/>
          <w:divBdr>
            <w:top w:val="none" w:sz="0" w:space="0" w:color="auto"/>
            <w:left w:val="none" w:sz="0" w:space="0" w:color="auto"/>
            <w:bottom w:val="none" w:sz="0" w:space="0" w:color="auto"/>
            <w:right w:val="none" w:sz="0" w:space="0" w:color="auto"/>
          </w:divBdr>
        </w:div>
        <w:div w:id="225535279">
          <w:marLeft w:val="0"/>
          <w:marRight w:val="0"/>
          <w:marTop w:val="0"/>
          <w:marBottom w:val="0"/>
          <w:divBdr>
            <w:top w:val="none" w:sz="0" w:space="0" w:color="auto"/>
            <w:left w:val="none" w:sz="0" w:space="0" w:color="auto"/>
            <w:bottom w:val="none" w:sz="0" w:space="0" w:color="auto"/>
            <w:right w:val="none" w:sz="0" w:space="0" w:color="auto"/>
          </w:divBdr>
        </w:div>
        <w:div w:id="1890337877">
          <w:marLeft w:val="0"/>
          <w:marRight w:val="0"/>
          <w:marTop w:val="0"/>
          <w:marBottom w:val="0"/>
          <w:divBdr>
            <w:top w:val="none" w:sz="0" w:space="0" w:color="auto"/>
            <w:left w:val="none" w:sz="0" w:space="0" w:color="auto"/>
            <w:bottom w:val="none" w:sz="0" w:space="0" w:color="auto"/>
            <w:right w:val="none" w:sz="0" w:space="0" w:color="auto"/>
          </w:divBdr>
        </w:div>
        <w:div w:id="123426446">
          <w:marLeft w:val="0"/>
          <w:marRight w:val="0"/>
          <w:marTop w:val="0"/>
          <w:marBottom w:val="0"/>
          <w:divBdr>
            <w:top w:val="none" w:sz="0" w:space="0" w:color="auto"/>
            <w:left w:val="none" w:sz="0" w:space="0" w:color="auto"/>
            <w:bottom w:val="none" w:sz="0" w:space="0" w:color="auto"/>
            <w:right w:val="none" w:sz="0" w:space="0" w:color="auto"/>
          </w:divBdr>
        </w:div>
        <w:div w:id="964847559">
          <w:marLeft w:val="0"/>
          <w:marRight w:val="0"/>
          <w:marTop w:val="0"/>
          <w:marBottom w:val="0"/>
          <w:divBdr>
            <w:top w:val="none" w:sz="0" w:space="0" w:color="auto"/>
            <w:left w:val="none" w:sz="0" w:space="0" w:color="auto"/>
            <w:bottom w:val="none" w:sz="0" w:space="0" w:color="auto"/>
            <w:right w:val="none" w:sz="0" w:space="0" w:color="auto"/>
          </w:divBdr>
        </w:div>
        <w:div w:id="1590504640">
          <w:marLeft w:val="0"/>
          <w:marRight w:val="0"/>
          <w:marTop w:val="0"/>
          <w:marBottom w:val="0"/>
          <w:divBdr>
            <w:top w:val="none" w:sz="0" w:space="0" w:color="auto"/>
            <w:left w:val="none" w:sz="0" w:space="0" w:color="auto"/>
            <w:bottom w:val="none" w:sz="0" w:space="0" w:color="auto"/>
            <w:right w:val="none" w:sz="0" w:space="0" w:color="auto"/>
          </w:divBdr>
        </w:div>
        <w:div w:id="1709987055">
          <w:marLeft w:val="0"/>
          <w:marRight w:val="0"/>
          <w:marTop w:val="0"/>
          <w:marBottom w:val="0"/>
          <w:divBdr>
            <w:top w:val="none" w:sz="0" w:space="0" w:color="auto"/>
            <w:left w:val="none" w:sz="0" w:space="0" w:color="auto"/>
            <w:bottom w:val="none" w:sz="0" w:space="0" w:color="auto"/>
            <w:right w:val="none" w:sz="0" w:space="0" w:color="auto"/>
          </w:divBdr>
        </w:div>
        <w:div w:id="2032563769">
          <w:marLeft w:val="0"/>
          <w:marRight w:val="0"/>
          <w:marTop w:val="0"/>
          <w:marBottom w:val="0"/>
          <w:divBdr>
            <w:top w:val="none" w:sz="0" w:space="0" w:color="auto"/>
            <w:left w:val="none" w:sz="0" w:space="0" w:color="auto"/>
            <w:bottom w:val="none" w:sz="0" w:space="0" w:color="auto"/>
            <w:right w:val="none" w:sz="0" w:space="0" w:color="auto"/>
          </w:divBdr>
        </w:div>
        <w:div w:id="414596775">
          <w:marLeft w:val="0"/>
          <w:marRight w:val="0"/>
          <w:marTop w:val="0"/>
          <w:marBottom w:val="0"/>
          <w:divBdr>
            <w:top w:val="none" w:sz="0" w:space="0" w:color="auto"/>
            <w:left w:val="none" w:sz="0" w:space="0" w:color="auto"/>
            <w:bottom w:val="none" w:sz="0" w:space="0" w:color="auto"/>
            <w:right w:val="none" w:sz="0" w:space="0" w:color="auto"/>
          </w:divBdr>
        </w:div>
        <w:div w:id="787236671">
          <w:marLeft w:val="0"/>
          <w:marRight w:val="0"/>
          <w:marTop w:val="0"/>
          <w:marBottom w:val="0"/>
          <w:divBdr>
            <w:top w:val="none" w:sz="0" w:space="0" w:color="auto"/>
            <w:left w:val="none" w:sz="0" w:space="0" w:color="auto"/>
            <w:bottom w:val="none" w:sz="0" w:space="0" w:color="auto"/>
            <w:right w:val="none" w:sz="0" w:space="0" w:color="auto"/>
          </w:divBdr>
        </w:div>
        <w:div w:id="1717198533">
          <w:marLeft w:val="0"/>
          <w:marRight w:val="0"/>
          <w:marTop w:val="0"/>
          <w:marBottom w:val="0"/>
          <w:divBdr>
            <w:top w:val="none" w:sz="0" w:space="0" w:color="auto"/>
            <w:left w:val="none" w:sz="0" w:space="0" w:color="auto"/>
            <w:bottom w:val="none" w:sz="0" w:space="0" w:color="auto"/>
            <w:right w:val="none" w:sz="0" w:space="0" w:color="auto"/>
          </w:divBdr>
        </w:div>
        <w:div w:id="1599674290">
          <w:marLeft w:val="0"/>
          <w:marRight w:val="0"/>
          <w:marTop w:val="0"/>
          <w:marBottom w:val="0"/>
          <w:divBdr>
            <w:top w:val="none" w:sz="0" w:space="0" w:color="auto"/>
            <w:left w:val="none" w:sz="0" w:space="0" w:color="auto"/>
            <w:bottom w:val="none" w:sz="0" w:space="0" w:color="auto"/>
            <w:right w:val="none" w:sz="0" w:space="0" w:color="auto"/>
          </w:divBdr>
        </w:div>
        <w:div w:id="500513035">
          <w:marLeft w:val="0"/>
          <w:marRight w:val="0"/>
          <w:marTop w:val="0"/>
          <w:marBottom w:val="0"/>
          <w:divBdr>
            <w:top w:val="none" w:sz="0" w:space="0" w:color="auto"/>
            <w:left w:val="none" w:sz="0" w:space="0" w:color="auto"/>
            <w:bottom w:val="none" w:sz="0" w:space="0" w:color="auto"/>
            <w:right w:val="none" w:sz="0" w:space="0" w:color="auto"/>
          </w:divBdr>
        </w:div>
        <w:div w:id="2051104817">
          <w:marLeft w:val="0"/>
          <w:marRight w:val="0"/>
          <w:marTop w:val="0"/>
          <w:marBottom w:val="0"/>
          <w:divBdr>
            <w:top w:val="none" w:sz="0" w:space="0" w:color="auto"/>
            <w:left w:val="none" w:sz="0" w:space="0" w:color="auto"/>
            <w:bottom w:val="none" w:sz="0" w:space="0" w:color="auto"/>
            <w:right w:val="none" w:sz="0" w:space="0" w:color="auto"/>
          </w:divBdr>
        </w:div>
        <w:div w:id="1346635896">
          <w:marLeft w:val="0"/>
          <w:marRight w:val="0"/>
          <w:marTop w:val="0"/>
          <w:marBottom w:val="0"/>
          <w:divBdr>
            <w:top w:val="none" w:sz="0" w:space="0" w:color="auto"/>
            <w:left w:val="none" w:sz="0" w:space="0" w:color="auto"/>
            <w:bottom w:val="none" w:sz="0" w:space="0" w:color="auto"/>
            <w:right w:val="none" w:sz="0" w:space="0" w:color="auto"/>
          </w:divBdr>
        </w:div>
        <w:div w:id="1777209090">
          <w:marLeft w:val="0"/>
          <w:marRight w:val="0"/>
          <w:marTop w:val="0"/>
          <w:marBottom w:val="0"/>
          <w:divBdr>
            <w:top w:val="none" w:sz="0" w:space="0" w:color="auto"/>
            <w:left w:val="none" w:sz="0" w:space="0" w:color="auto"/>
            <w:bottom w:val="none" w:sz="0" w:space="0" w:color="auto"/>
            <w:right w:val="none" w:sz="0" w:space="0" w:color="auto"/>
          </w:divBdr>
        </w:div>
        <w:div w:id="1474061178">
          <w:marLeft w:val="0"/>
          <w:marRight w:val="0"/>
          <w:marTop w:val="0"/>
          <w:marBottom w:val="0"/>
          <w:divBdr>
            <w:top w:val="none" w:sz="0" w:space="0" w:color="auto"/>
            <w:left w:val="none" w:sz="0" w:space="0" w:color="auto"/>
            <w:bottom w:val="none" w:sz="0" w:space="0" w:color="auto"/>
            <w:right w:val="none" w:sz="0" w:space="0" w:color="auto"/>
          </w:divBdr>
        </w:div>
        <w:div w:id="1692535009">
          <w:marLeft w:val="0"/>
          <w:marRight w:val="0"/>
          <w:marTop w:val="0"/>
          <w:marBottom w:val="0"/>
          <w:divBdr>
            <w:top w:val="none" w:sz="0" w:space="0" w:color="auto"/>
            <w:left w:val="none" w:sz="0" w:space="0" w:color="auto"/>
            <w:bottom w:val="none" w:sz="0" w:space="0" w:color="auto"/>
            <w:right w:val="none" w:sz="0" w:space="0" w:color="auto"/>
          </w:divBdr>
        </w:div>
        <w:div w:id="839808908">
          <w:marLeft w:val="0"/>
          <w:marRight w:val="0"/>
          <w:marTop w:val="0"/>
          <w:marBottom w:val="0"/>
          <w:divBdr>
            <w:top w:val="none" w:sz="0" w:space="0" w:color="auto"/>
            <w:left w:val="none" w:sz="0" w:space="0" w:color="auto"/>
            <w:bottom w:val="none" w:sz="0" w:space="0" w:color="auto"/>
            <w:right w:val="none" w:sz="0" w:space="0" w:color="auto"/>
          </w:divBdr>
        </w:div>
        <w:div w:id="1386485688">
          <w:marLeft w:val="0"/>
          <w:marRight w:val="0"/>
          <w:marTop w:val="0"/>
          <w:marBottom w:val="0"/>
          <w:divBdr>
            <w:top w:val="none" w:sz="0" w:space="0" w:color="auto"/>
            <w:left w:val="none" w:sz="0" w:space="0" w:color="auto"/>
            <w:bottom w:val="none" w:sz="0" w:space="0" w:color="auto"/>
            <w:right w:val="none" w:sz="0" w:space="0" w:color="auto"/>
          </w:divBdr>
        </w:div>
        <w:div w:id="154147960">
          <w:marLeft w:val="0"/>
          <w:marRight w:val="0"/>
          <w:marTop w:val="0"/>
          <w:marBottom w:val="0"/>
          <w:divBdr>
            <w:top w:val="none" w:sz="0" w:space="0" w:color="auto"/>
            <w:left w:val="none" w:sz="0" w:space="0" w:color="auto"/>
            <w:bottom w:val="none" w:sz="0" w:space="0" w:color="auto"/>
            <w:right w:val="none" w:sz="0" w:space="0" w:color="auto"/>
          </w:divBdr>
        </w:div>
        <w:div w:id="551116883">
          <w:marLeft w:val="0"/>
          <w:marRight w:val="0"/>
          <w:marTop w:val="0"/>
          <w:marBottom w:val="0"/>
          <w:divBdr>
            <w:top w:val="none" w:sz="0" w:space="0" w:color="auto"/>
            <w:left w:val="none" w:sz="0" w:space="0" w:color="auto"/>
            <w:bottom w:val="none" w:sz="0" w:space="0" w:color="auto"/>
            <w:right w:val="none" w:sz="0" w:space="0" w:color="auto"/>
          </w:divBdr>
        </w:div>
        <w:div w:id="2095320415">
          <w:marLeft w:val="0"/>
          <w:marRight w:val="0"/>
          <w:marTop w:val="0"/>
          <w:marBottom w:val="0"/>
          <w:divBdr>
            <w:top w:val="none" w:sz="0" w:space="0" w:color="auto"/>
            <w:left w:val="none" w:sz="0" w:space="0" w:color="auto"/>
            <w:bottom w:val="none" w:sz="0" w:space="0" w:color="auto"/>
            <w:right w:val="none" w:sz="0" w:space="0" w:color="auto"/>
          </w:divBdr>
        </w:div>
        <w:div w:id="200290160">
          <w:marLeft w:val="0"/>
          <w:marRight w:val="0"/>
          <w:marTop w:val="0"/>
          <w:marBottom w:val="0"/>
          <w:divBdr>
            <w:top w:val="none" w:sz="0" w:space="0" w:color="auto"/>
            <w:left w:val="none" w:sz="0" w:space="0" w:color="auto"/>
            <w:bottom w:val="none" w:sz="0" w:space="0" w:color="auto"/>
            <w:right w:val="none" w:sz="0" w:space="0" w:color="auto"/>
          </w:divBdr>
        </w:div>
        <w:div w:id="1884295002">
          <w:marLeft w:val="0"/>
          <w:marRight w:val="0"/>
          <w:marTop w:val="0"/>
          <w:marBottom w:val="0"/>
          <w:divBdr>
            <w:top w:val="none" w:sz="0" w:space="0" w:color="auto"/>
            <w:left w:val="none" w:sz="0" w:space="0" w:color="auto"/>
            <w:bottom w:val="none" w:sz="0" w:space="0" w:color="auto"/>
            <w:right w:val="none" w:sz="0" w:space="0" w:color="auto"/>
          </w:divBdr>
        </w:div>
        <w:div w:id="1954550880">
          <w:marLeft w:val="0"/>
          <w:marRight w:val="0"/>
          <w:marTop w:val="0"/>
          <w:marBottom w:val="0"/>
          <w:divBdr>
            <w:top w:val="none" w:sz="0" w:space="0" w:color="auto"/>
            <w:left w:val="none" w:sz="0" w:space="0" w:color="auto"/>
            <w:bottom w:val="none" w:sz="0" w:space="0" w:color="auto"/>
            <w:right w:val="none" w:sz="0" w:space="0" w:color="auto"/>
          </w:divBdr>
        </w:div>
        <w:div w:id="1047727081">
          <w:marLeft w:val="0"/>
          <w:marRight w:val="0"/>
          <w:marTop w:val="0"/>
          <w:marBottom w:val="0"/>
          <w:divBdr>
            <w:top w:val="none" w:sz="0" w:space="0" w:color="auto"/>
            <w:left w:val="none" w:sz="0" w:space="0" w:color="auto"/>
            <w:bottom w:val="none" w:sz="0" w:space="0" w:color="auto"/>
            <w:right w:val="none" w:sz="0" w:space="0" w:color="auto"/>
          </w:divBdr>
        </w:div>
        <w:div w:id="1988393161">
          <w:marLeft w:val="0"/>
          <w:marRight w:val="0"/>
          <w:marTop w:val="0"/>
          <w:marBottom w:val="0"/>
          <w:divBdr>
            <w:top w:val="none" w:sz="0" w:space="0" w:color="auto"/>
            <w:left w:val="none" w:sz="0" w:space="0" w:color="auto"/>
            <w:bottom w:val="none" w:sz="0" w:space="0" w:color="auto"/>
            <w:right w:val="none" w:sz="0" w:space="0" w:color="auto"/>
          </w:divBdr>
        </w:div>
        <w:div w:id="1515998270">
          <w:marLeft w:val="0"/>
          <w:marRight w:val="0"/>
          <w:marTop w:val="0"/>
          <w:marBottom w:val="0"/>
          <w:divBdr>
            <w:top w:val="none" w:sz="0" w:space="0" w:color="auto"/>
            <w:left w:val="none" w:sz="0" w:space="0" w:color="auto"/>
            <w:bottom w:val="none" w:sz="0" w:space="0" w:color="auto"/>
            <w:right w:val="none" w:sz="0" w:space="0" w:color="auto"/>
          </w:divBdr>
        </w:div>
        <w:div w:id="111360141">
          <w:marLeft w:val="0"/>
          <w:marRight w:val="0"/>
          <w:marTop w:val="0"/>
          <w:marBottom w:val="0"/>
          <w:divBdr>
            <w:top w:val="none" w:sz="0" w:space="0" w:color="auto"/>
            <w:left w:val="none" w:sz="0" w:space="0" w:color="auto"/>
            <w:bottom w:val="none" w:sz="0" w:space="0" w:color="auto"/>
            <w:right w:val="none" w:sz="0" w:space="0" w:color="auto"/>
          </w:divBdr>
        </w:div>
        <w:div w:id="497883602">
          <w:marLeft w:val="0"/>
          <w:marRight w:val="0"/>
          <w:marTop w:val="0"/>
          <w:marBottom w:val="0"/>
          <w:divBdr>
            <w:top w:val="none" w:sz="0" w:space="0" w:color="auto"/>
            <w:left w:val="none" w:sz="0" w:space="0" w:color="auto"/>
            <w:bottom w:val="none" w:sz="0" w:space="0" w:color="auto"/>
            <w:right w:val="none" w:sz="0" w:space="0" w:color="auto"/>
          </w:divBdr>
        </w:div>
        <w:div w:id="751240634">
          <w:marLeft w:val="0"/>
          <w:marRight w:val="0"/>
          <w:marTop w:val="0"/>
          <w:marBottom w:val="0"/>
          <w:divBdr>
            <w:top w:val="none" w:sz="0" w:space="0" w:color="auto"/>
            <w:left w:val="none" w:sz="0" w:space="0" w:color="auto"/>
            <w:bottom w:val="none" w:sz="0" w:space="0" w:color="auto"/>
            <w:right w:val="none" w:sz="0" w:space="0" w:color="auto"/>
          </w:divBdr>
        </w:div>
        <w:div w:id="1095057135">
          <w:marLeft w:val="0"/>
          <w:marRight w:val="0"/>
          <w:marTop w:val="0"/>
          <w:marBottom w:val="0"/>
          <w:divBdr>
            <w:top w:val="none" w:sz="0" w:space="0" w:color="auto"/>
            <w:left w:val="none" w:sz="0" w:space="0" w:color="auto"/>
            <w:bottom w:val="none" w:sz="0" w:space="0" w:color="auto"/>
            <w:right w:val="none" w:sz="0" w:space="0" w:color="auto"/>
          </w:divBdr>
        </w:div>
        <w:div w:id="2054691631">
          <w:marLeft w:val="0"/>
          <w:marRight w:val="0"/>
          <w:marTop w:val="0"/>
          <w:marBottom w:val="0"/>
          <w:divBdr>
            <w:top w:val="none" w:sz="0" w:space="0" w:color="auto"/>
            <w:left w:val="none" w:sz="0" w:space="0" w:color="auto"/>
            <w:bottom w:val="none" w:sz="0" w:space="0" w:color="auto"/>
            <w:right w:val="none" w:sz="0" w:space="0" w:color="auto"/>
          </w:divBdr>
        </w:div>
        <w:div w:id="1819767372">
          <w:marLeft w:val="0"/>
          <w:marRight w:val="0"/>
          <w:marTop w:val="0"/>
          <w:marBottom w:val="0"/>
          <w:divBdr>
            <w:top w:val="none" w:sz="0" w:space="0" w:color="auto"/>
            <w:left w:val="none" w:sz="0" w:space="0" w:color="auto"/>
            <w:bottom w:val="none" w:sz="0" w:space="0" w:color="auto"/>
            <w:right w:val="none" w:sz="0" w:space="0" w:color="auto"/>
          </w:divBdr>
        </w:div>
        <w:div w:id="191315425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javascript:insRow1()" TargetMode="External"/><Relationship Id="rId6" Type="http://schemas.openxmlformats.org/officeDocument/2006/relationships/hyperlink" Target="javascript:insRow2()" TargetMode="External"/><Relationship Id="rId7" Type="http://schemas.openxmlformats.org/officeDocument/2006/relationships/hyperlink" Target="javascript:insRow3()" TargetMode="External"/><Relationship Id="rId8" Type="http://schemas.openxmlformats.org/officeDocument/2006/relationships/hyperlink" Target="javascript:insRow4()"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822</Words>
  <Characters>4525</Characters>
  <Application>Microsoft Macintosh Word</Application>
  <DocSecurity>0</DocSecurity>
  <Lines>37</Lines>
  <Paragraphs>10</Paragraphs>
  <ScaleCrop>false</ScaleCrop>
  <Company/>
  <LinksUpToDate>false</LinksUpToDate>
  <CharactersWithSpaces>5337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ernesto matallana camacho</dc:creator>
  <cp:keywords/>
  <dc:description/>
  <cp:lastModifiedBy>ernesto matallana camacho</cp:lastModifiedBy>
  <cp:revision>2</cp:revision>
  <dcterms:created xsi:type="dcterms:W3CDTF">2012-07-20T13:08:00Z</dcterms:created>
  <dcterms:modified xsi:type="dcterms:W3CDTF">2012-07-20T13:09:00Z</dcterms:modified>
</cp:coreProperties>
</file>